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66FB3" w:rsidRDefault="00166FB3" w:rsidP="00166FB3">
      <w:pPr>
        <w:pStyle w:val="NormalWeb"/>
        <w:spacing w:before="2" w:after="2"/>
        <w:rPr>
          <w:rFonts w:ascii="Calibri" w:hAnsi="Calibri"/>
          <w:b/>
          <w:sz w:val="24"/>
          <w:szCs w:val="22"/>
          <w:u w:val="single"/>
        </w:rPr>
      </w:pPr>
      <w:r w:rsidRPr="00CA7AFD">
        <w:rPr>
          <w:rFonts w:ascii="Calibri" w:hAnsi="Calibri"/>
          <w:b/>
          <w:sz w:val="24"/>
          <w:szCs w:val="22"/>
          <w:u w:val="single"/>
        </w:rPr>
        <w:t>Church m</w:t>
      </w:r>
      <w:r>
        <w:rPr>
          <w:rFonts w:ascii="Calibri" w:hAnsi="Calibri"/>
          <w:b/>
          <w:sz w:val="24"/>
          <w:szCs w:val="22"/>
          <w:u w:val="single"/>
        </w:rPr>
        <w:t>embers’ Finance Report (May 2019</w:t>
      </w:r>
      <w:r w:rsidRPr="00CA7AFD">
        <w:rPr>
          <w:rFonts w:ascii="Calibri" w:hAnsi="Calibri"/>
          <w:b/>
          <w:sz w:val="24"/>
          <w:szCs w:val="22"/>
          <w:u w:val="single"/>
        </w:rPr>
        <w:t xml:space="preserve">) </w:t>
      </w:r>
      <w:r>
        <w:rPr>
          <w:rFonts w:ascii="Calibri" w:hAnsi="Calibri"/>
          <w:b/>
          <w:sz w:val="24"/>
          <w:szCs w:val="22"/>
          <w:u w:val="single"/>
        </w:rPr>
        <w:t xml:space="preserve">covering the </w:t>
      </w:r>
      <w:proofErr w:type="gramStart"/>
      <w:r>
        <w:rPr>
          <w:rFonts w:ascii="Calibri" w:hAnsi="Calibri"/>
          <w:b/>
          <w:sz w:val="24"/>
          <w:szCs w:val="22"/>
          <w:u w:val="single"/>
        </w:rPr>
        <w:t>four month</w:t>
      </w:r>
      <w:proofErr w:type="gramEnd"/>
      <w:r>
        <w:rPr>
          <w:rFonts w:ascii="Calibri" w:hAnsi="Calibri"/>
          <w:b/>
          <w:sz w:val="24"/>
          <w:szCs w:val="22"/>
          <w:u w:val="single"/>
        </w:rPr>
        <w:t xml:space="preserve"> period to 30</w:t>
      </w:r>
      <w:r w:rsidRPr="00974041">
        <w:rPr>
          <w:rFonts w:ascii="Calibri" w:hAnsi="Calibri"/>
          <w:b/>
          <w:sz w:val="24"/>
          <w:szCs w:val="22"/>
          <w:u w:val="single"/>
          <w:vertAlign w:val="superscript"/>
        </w:rPr>
        <w:t>th</w:t>
      </w:r>
      <w:r>
        <w:rPr>
          <w:rFonts w:ascii="Calibri" w:hAnsi="Calibri"/>
          <w:b/>
          <w:sz w:val="24"/>
          <w:szCs w:val="22"/>
          <w:u w:val="single"/>
        </w:rPr>
        <w:t xml:space="preserve"> April 2019.</w:t>
      </w:r>
    </w:p>
    <w:p w:rsidR="006B3AA5" w:rsidRDefault="006B3AA5" w:rsidP="00166FB3">
      <w:pPr>
        <w:rPr>
          <w:b/>
          <w:sz w:val="28"/>
          <w:u w:val="single"/>
        </w:rPr>
      </w:pPr>
    </w:p>
    <w:p w:rsidR="00D27AB7" w:rsidRDefault="00166FB3" w:rsidP="00FD00D2">
      <w:r>
        <w:t>We have had a very good start to the year in terms of offerings</w:t>
      </w:r>
      <w:r w:rsidR="00D27AB7">
        <w:t>. Against a budget of</w:t>
      </w:r>
      <w:r w:rsidR="00F64BA2">
        <w:t xml:space="preserve"> £100,000 for the first four months of the year, we have received £114,000. </w:t>
      </w:r>
      <w:r w:rsidR="00FD00D2">
        <w:t xml:space="preserve">This </w:t>
      </w:r>
      <w:r w:rsidR="00F64BA2">
        <w:t xml:space="preserve">has meant that the </w:t>
      </w:r>
      <w:proofErr w:type="gramStart"/>
      <w:r w:rsidR="00F64BA2">
        <w:t>12 month</w:t>
      </w:r>
      <w:proofErr w:type="gramEnd"/>
      <w:r w:rsidR="00F64BA2">
        <w:t xml:space="preserve"> rolling average for total monthly offerings (the slide I present at every Members</w:t>
      </w:r>
      <w:r w:rsidR="00421892">
        <w:t>’</w:t>
      </w:r>
      <w:r w:rsidR="00F64BA2">
        <w:t xml:space="preserve"> meeting – see below) has exceeded the £25,000 target for the first</w:t>
      </w:r>
      <w:r w:rsidR="00B91C97">
        <w:t xml:space="preserve"> time</w:t>
      </w:r>
      <w:r w:rsidR="00F64BA2">
        <w:t xml:space="preserve">. </w:t>
      </w:r>
    </w:p>
    <w:p w:rsidR="00F64BA2" w:rsidRDefault="00F64BA2" w:rsidP="00D27AB7">
      <w:pPr>
        <w:rPr>
          <w:rFonts w:ascii="Helvetica Neue" w:hAnsi="Helvetica Neue"/>
          <w:color w:val="26282A"/>
          <w:sz w:val="21"/>
          <w:szCs w:val="21"/>
          <w:lang w:val="en-GB"/>
        </w:rPr>
      </w:pPr>
    </w:p>
    <w:p w:rsidR="00FD00D2" w:rsidRDefault="00FD00D2" w:rsidP="00FD00D2"/>
    <w:p w:rsidR="00FD00D2" w:rsidRDefault="00166FB3" w:rsidP="00FD00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6858000" cy="3488055"/>
            <wp:effectExtent l="25400" t="25400" r="0" b="0"/>
            <wp:wrapTight wrapText="bothSides">
              <wp:wrapPolygon edited="0">
                <wp:start x="-80" y="-157"/>
                <wp:lineTo x="-80" y="21549"/>
                <wp:lineTo x="21600" y="21549"/>
                <wp:lineTo x="21600" y="-157"/>
                <wp:lineTo x="-80" y="-157"/>
              </wp:wrapPolygon>
            </wp:wrapTight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5071AC" w:rsidRDefault="005071AC" w:rsidP="00FD00D2"/>
    <w:p w:rsidR="00F64BA2" w:rsidRPr="00D27AB7" w:rsidRDefault="00AC3890" w:rsidP="00F64BA2">
      <w:pPr>
        <w:rPr>
          <w:color w:val="26282A"/>
          <w:szCs w:val="21"/>
          <w:lang w:val="en-GB"/>
        </w:rPr>
      </w:pPr>
      <w:r>
        <w:rPr>
          <w:color w:val="26282A"/>
          <w:szCs w:val="21"/>
          <w:lang w:val="en-GB"/>
        </w:rPr>
        <w:t>As regards total revenue, w</w:t>
      </w:r>
      <w:r w:rsidR="00F64BA2" w:rsidRPr="00D27AB7">
        <w:rPr>
          <w:color w:val="26282A"/>
          <w:szCs w:val="21"/>
          <w:lang w:val="en-GB"/>
        </w:rPr>
        <w:t xml:space="preserve">e have </w:t>
      </w:r>
      <w:r>
        <w:rPr>
          <w:color w:val="26282A"/>
          <w:szCs w:val="21"/>
          <w:lang w:val="en-GB"/>
        </w:rPr>
        <w:t xml:space="preserve">now </w:t>
      </w:r>
      <w:r w:rsidR="00F64BA2" w:rsidRPr="00D27AB7">
        <w:rPr>
          <w:color w:val="26282A"/>
          <w:szCs w:val="21"/>
          <w:lang w:val="en-GB"/>
        </w:rPr>
        <w:t>received the £10,000 legacy fr</w:t>
      </w:r>
      <w:r>
        <w:rPr>
          <w:color w:val="26282A"/>
          <w:szCs w:val="21"/>
          <w:lang w:val="en-GB"/>
        </w:rPr>
        <w:t xml:space="preserve">om </w:t>
      </w:r>
      <w:proofErr w:type="spellStart"/>
      <w:r>
        <w:rPr>
          <w:color w:val="26282A"/>
          <w:szCs w:val="21"/>
          <w:lang w:val="en-GB"/>
        </w:rPr>
        <w:t>Maisie</w:t>
      </w:r>
      <w:proofErr w:type="spellEnd"/>
      <w:r>
        <w:rPr>
          <w:color w:val="26282A"/>
          <w:szCs w:val="21"/>
          <w:lang w:val="en-GB"/>
        </w:rPr>
        <w:t xml:space="preserve"> Bertha Grant's Estate which, together with a number of one off donations, has brought total </w:t>
      </w:r>
      <w:r w:rsidR="00F64BA2" w:rsidRPr="00D27AB7">
        <w:rPr>
          <w:color w:val="26282A"/>
          <w:szCs w:val="21"/>
          <w:lang w:val="en-GB"/>
        </w:rPr>
        <w:t>revenue for the first fou</w:t>
      </w:r>
      <w:r>
        <w:rPr>
          <w:color w:val="26282A"/>
          <w:szCs w:val="21"/>
          <w:lang w:val="en-GB"/>
        </w:rPr>
        <w:t xml:space="preserve">r months of the year to £130,000, £29,000 better than budget – </w:t>
      </w:r>
      <w:r w:rsidRPr="00AC3890">
        <w:rPr>
          <w:b/>
          <w:color w:val="26282A"/>
          <w:szCs w:val="21"/>
          <w:lang w:val="en-GB"/>
        </w:rPr>
        <w:t>Praise the Lord.</w:t>
      </w:r>
    </w:p>
    <w:p w:rsidR="00F64BA2" w:rsidRPr="00D27AB7" w:rsidRDefault="00F64BA2" w:rsidP="00F64BA2">
      <w:pPr>
        <w:rPr>
          <w:color w:val="26282A"/>
          <w:szCs w:val="21"/>
          <w:lang w:val="en-GB"/>
        </w:rPr>
      </w:pPr>
    </w:p>
    <w:p w:rsidR="00A30F62" w:rsidRDefault="00F64BA2" w:rsidP="00F64BA2">
      <w:pPr>
        <w:rPr>
          <w:color w:val="26282A"/>
          <w:szCs w:val="21"/>
          <w:lang w:val="en-GB"/>
        </w:rPr>
      </w:pPr>
      <w:r w:rsidRPr="00D27AB7">
        <w:rPr>
          <w:color w:val="26282A"/>
          <w:szCs w:val="21"/>
          <w:lang w:val="en-GB"/>
        </w:rPr>
        <w:t>As regards expenditure, all areas of expenditure</w:t>
      </w:r>
      <w:r w:rsidR="00421892">
        <w:rPr>
          <w:color w:val="26282A"/>
          <w:szCs w:val="21"/>
          <w:lang w:val="en-GB"/>
        </w:rPr>
        <w:t xml:space="preserve"> remain on or under budget with the exception of expenditure on the Church premises, which is </w:t>
      </w:r>
      <w:r w:rsidR="00A30F62">
        <w:rPr>
          <w:color w:val="26282A"/>
          <w:szCs w:val="21"/>
          <w:lang w:val="en-GB"/>
        </w:rPr>
        <w:t xml:space="preserve">shown as </w:t>
      </w:r>
      <w:r w:rsidR="00421892">
        <w:rPr>
          <w:color w:val="26282A"/>
          <w:szCs w:val="21"/>
          <w:lang w:val="en-GB"/>
        </w:rPr>
        <w:t>£8,000 overspent</w:t>
      </w:r>
      <w:r w:rsidR="00AF68C9">
        <w:rPr>
          <w:color w:val="26282A"/>
          <w:szCs w:val="21"/>
          <w:lang w:val="en-GB"/>
        </w:rPr>
        <w:t xml:space="preserve"> (see slides accompanying this report</w:t>
      </w:r>
      <w:r w:rsidR="00A30F62">
        <w:rPr>
          <w:color w:val="26282A"/>
          <w:szCs w:val="21"/>
          <w:lang w:val="en-GB"/>
        </w:rPr>
        <w:t>)</w:t>
      </w:r>
      <w:r w:rsidR="00421892">
        <w:rPr>
          <w:color w:val="26282A"/>
          <w:szCs w:val="21"/>
          <w:lang w:val="en-GB"/>
        </w:rPr>
        <w:t>. This overspend is due to expenditure on the partition for the main hall, as we have now paid t</w:t>
      </w:r>
      <w:r w:rsidR="00AF68C9">
        <w:rPr>
          <w:color w:val="26282A"/>
          <w:szCs w:val="21"/>
          <w:lang w:val="en-GB"/>
        </w:rPr>
        <w:t>he first instalment. In budgetary terms</w:t>
      </w:r>
      <w:r w:rsidR="00A30F62">
        <w:rPr>
          <w:color w:val="26282A"/>
          <w:szCs w:val="21"/>
          <w:lang w:val="en-GB"/>
        </w:rPr>
        <w:t>,</w:t>
      </w:r>
      <w:r w:rsidR="00421892">
        <w:rPr>
          <w:color w:val="26282A"/>
          <w:szCs w:val="21"/>
          <w:lang w:val="en-GB"/>
        </w:rPr>
        <w:t xml:space="preserve"> </w:t>
      </w:r>
      <w:r w:rsidR="0038135B">
        <w:rPr>
          <w:color w:val="26282A"/>
          <w:szCs w:val="21"/>
          <w:lang w:val="en-GB"/>
        </w:rPr>
        <w:t>our Church premises expenditure</w:t>
      </w:r>
      <w:r w:rsidR="00A30F62">
        <w:rPr>
          <w:color w:val="26282A"/>
          <w:szCs w:val="21"/>
          <w:lang w:val="en-GB"/>
        </w:rPr>
        <w:t xml:space="preserve"> is actually on budget, as the</w:t>
      </w:r>
      <w:r w:rsidR="00421892">
        <w:rPr>
          <w:color w:val="26282A"/>
          <w:szCs w:val="21"/>
          <w:lang w:val="en-GB"/>
        </w:rPr>
        <w:t xml:space="preserve"> expenditure </w:t>
      </w:r>
      <w:r w:rsidR="00A30F62">
        <w:rPr>
          <w:color w:val="26282A"/>
          <w:szCs w:val="21"/>
          <w:lang w:val="en-GB"/>
        </w:rPr>
        <w:t xml:space="preserve">on the partition wall </w:t>
      </w:r>
      <w:r w:rsidR="00421892">
        <w:rPr>
          <w:color w:val="26282A"/>
          <w:szCs w:val="21"/>
          <w:lang w:val="en-GB"/>
        </w:rPr>
        <w:t>will be paid out of our legacy reserves rather than our offerings</w:t>
      </w:r>
      <w:r w:rsidR="00A30F62">
        <w:rPr>
          <w:color w:val="26282A"/>
          <w:szCs w:val="21"/>
          <w:lang w:val="en-GB"/>
        </w:rPr>
        <w:t xml:space="preserve">. I merely include the expenditure for presentation to the Members, so that they can see a full “cash” position for the Church (excluding the building fund). </w:t>
      </w:r>
    </w:p>
    <w:p w:rsidR="00A30F62" w:rsidRDefault="00A30F62" w:rsidP="00F64BA2">
      <w:pPr>
        <w:rPr>
          <w:color w:val="26282A"/>
          <w:szCs w:val="21"/>
          <w:lang w:val="en-GB"/>
        </w:rPr>
      </w:pPr>
    </w:p>
    <w:p w:rsidR="00F64BA2" w:rsidRPr="00A30F62" w:rsidRDefault="00A30F62" w:rsidP="00F64BA2">
      <w:pPr>
        <w:rPr>
          <w:color w:val="26282A"/>
          <w:szCs w:val="21"/>
          <w:lang w:val="en-GB"/>
        </w:rPr>
      </w:pPr>
      <w:r>
        <w:rPr>
          <w:color w:val="26282A"/>
          <w:szCs w:val="21"/>
          <w:lang w:val="en-GB"/>
        </w:rPr>
        <w:t>In summary</w:t>
      </w:r>
      <w:r w:rsidR="0038135B">
        <w:rPr>
          <w:color w:val="26282A"/>
          <w:szCs w:val="21"/>
          <w:lang w:val="en-GB"/>
        </w:rPr>
        <w:t>,</w:t>
      </w:r>
      <w:r>
        <w:rPr>
          <w:color w:val="26282A"/>
          <w:szCs w:val="21"/>
          <w:lang w:val="en-GB"/>
        </w:rPr>
        <w:t xml:space="preserve"> we have had a very g</w:t>
      </w:r>
      <w:r w:rsidR="00AF68C9">
        <w:rPr>
          <w:color w:val="26282A"/>
          <w:szCs w:val="21"/>
          <w:lang w:val="en-GB"/>
        </w:rPr>
        <w:t>ood financial start to the year</w:t>
      </w:r>
      <w:r w:rsidR="0038135B">
        <w:rPr>
          <w:color w:val="26282A"/>
          <w:szCs w:val="21"/>
          <w:lang w:val="en-GB"/>
        </w:rPr>
        <w:t>,</w:t>
      </w:r>
      <w:r w:rsidR="00AF68C9">
        <w:rPr>
          <w:color w:val="26282A"/>
          <w:szCs w:val="21"/>
          <w:lang w:val="en-GB"/>
        </w:rPr>
        <w:t xml:space="preserve"> which is a </w:t>
      </w:r>
      <w:r w:rsidR="0038135B">
        <w:rPr>
          <w:color w:val="26282A"/>
          <w:szCs w:val="21"/>
          <w:lang w:val="en-GB"/>
        </w:rPr>
        <w:t xml:space="preserve">real blessing </w:t>
      </w:r>
      <w:r w:rsidR="00AF68C9">
        <w:rPr>
          <w:color w:val="26282A"/>
          <w:szCs w:val="21"/>
          <w:lang w:val="en-GB"/>
        </w:rPr>
        <w:t>as we continue to plan the much needed upgrades to our premises and seek the Lord</w:t>
      </w:r>
      <w:r w:rsidR="0038135B">
        <w:rPr>
          <w:color w:val="26282A"/>
          <w:szCs w:val="21"/>
          <w:lang w:val="en-GB"/>
        </w:rPr>
        <w:t>’</w:t>
      </w:r>
      <w:r w:rsidR="00AF68C9">
        <w:rPr>
          <w:color w:val="26282A"/>
          <w:szCs w:val="21"/>
          <w:lang w:val="en-GB"/>
        </w:rPr>
        <w:t>s guidance on how best to extend His kingdom.</w:t>
      </w:r>
    </w:p>
    <w:p w:rsidR="00177428" w:rsidRDefault="00177428" w:rsidP="00334F6E"/>
    <w:p w:rsidR="00333880" w:rsidRDefault="005E6B68" w:rsidP="005E6B68">
      <w:pPr>
        <w:rPr>
          <w:b/>
          <w:i/>
        </w:rPr>
      </w:pPr>
      <w:r w:rsidRPr="00333880">
        <w:rPr>
          <w:b/>
          <w:i/>
        </w:rPr>
        <w:t>The Lord continues to uphold us with His righteous right hand</w:t>
      </w:r>
    </w:p>
    <w:p w:rsidR="00333880" w:rsidRDefault="00333880" w:rsidP="005E6B68">
      <w:pPr>
        <w:rPr>
          <w:b/>
          <w:i/>
        </w:rPr>
      </w:pPr>
    </w:p>
    <w:p w:rsidR="001203BB" w:rsidRPr="00C3560B" w:rsidRDefault="00F64BA2" w:rsidP="001203BB">
      <w:pPr>
        <w:ind w:right="35"/>
      </w:pPr>
      <w:r>
        <w:t>Unfortunately, the change of date for the Members’ meeting means that I will not be able to attend the meeting</w:t>
      </w:r>
      <w:r w:rsidR="00AC3890">
        <w:t xml:space="preserve"> and I am grateful to Roy </w:t>
      </w:r>
      <w:proofErr w:type="spellStart"/>
      <w:r w:rsidR="00AC3890">
        <w:t>Bawden</w:t>
      </w:r>
      <w:proofErr w:type="spellEnd"/>
      <w:r w:rsidR="00AC3890">
        <w:t xml:space="preserve"> for standing in to present the finance numbers on behalf of the finance committee.</w:t>
      </w:r>
    </w:p>
    <w:p w:rsidR="005E6B68" w:rsidRPr="00C3560B" w:rsidRDefault="005E6B68" w:rsidP="005E6B68"/>
    <w:p w:rsidR="000A3A4D" w:rsidRPr="00C3560B" w:rsidRDefault="000A3A4D" w:rsidP="006B3AA5">
      <w:pPr>
        <w:rPr>
          <w:b/>
        </w:rPr>
      </w:pPr>
    </w:p>
    <w:p w:rsidR="00CB0163" w:rsidRPr="00C3560B" w:rsidRDefault="000A3A4D" w:rsidP="006B3AA5">
      <w:pPr>
        <w:rPr>
          <w:b/>
        </w:rPr>
      </w:pPr>
      <w:r w:rsidRPr="00C3560B">
        <w:rPr>
          <w:b/>
        </w:rPr>
        <w:t>Craig Rowland</w:t>
      </w:r>
    </w:p>
    <w:p w:rsidR="00CB0163" w:rsidRPr="00C3560B" w:rsidRDefault="00CB0163" w:rsidP="006B3AA5">
      <w:pPr>
        <w:rPr>
          <w:b/>
        </w:rPr>
      </w:pPr>
    </w:p>
    <w:p w:rsidR="006B3AA5" w:rsidRPr="00C3560B" w:rsidRDefault="006B3AA5" w:rsidP="006B3AA5">
      <w:pPr>
        <w:rPr>
          <w:b/>
        </w:rPr>
      </w:pPr>
    </w:p>
    <w:sectPr w:rsidR="006B3AA5" w:rsidRPr="00C3560B" w:rsidSect="005E6B68">
      <w:pgSz w:w="11900" w:h="16840"/>
      <w:pgMar w:top="426" w:right="701" w:bottom="567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92467E"/>
    <w:multiLevelType w:val="hybridMultilevel"/>
    <w:tmpl w:val="60202866"/>
    <w:lvl w:ilvl="0" w:tplc="90DCE1A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CF5084D"/>
    <w:multiLevelType w:val="hybridMultilevel"/>
    <w:tmpl w:val="228EE7B6"/>
    <w:lvl w:ilvl="0" w:tplc="90DCE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564B"/>
    <w:multiLevelType w:val="multilevel"/>
    <w:tmpl w:val="A87E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C75BC"/>
    <w:multiLevelType w:val="multilevel"/>
    <w:tmpl w:val="2012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2293E"/>
    <w:multiLevelType w:val="hybridMultilevel"/>
    <w:tmpl w:val="F2CADF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EA344C"/>
    <w:multiLevelType w:val="hybridMultilevel"/>
    <w:tmpl w:val="EE84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B3AA5"/>
    <w:rsid w:val="00024535"/>
    <w:rsid w:val="00070914"/>
    <w:rsid w:val="000A3A4D"/>
    <w:rsid w:val="000E7B30"/>
    <w:rsid w:val="001203BB"/>
    <w:rsid w:val="00146168"/>
    <w:rsid w:val="00155D4F"/>
    <w:rsid w:val="00161EB5"/>
    <w:rsid w:val="00166FB3"/>
    <w:rsid w:val="00177428"/>
    <w:rsid w:val="001A11E1"/>
    <w:rsid w:val="001B58A7"/>
    <w:rsid w:val="001F22BC"/>
    <w:rsid w:val="001F4935"/>
    <w:rsid w:val="00287433"/>
    <w:rsid w:val="002A1BE8"/>
    <w:rsid w:val="002B4AEE"/>
    <w:rsid w:val="002C7824"/>
    <w:rsid w:val="00333880"/>
    <w:rsid w:val="00334F6E"/>
    <w:rsid w:val="00342186"/>
    <w:rsid w:val="0038135B"/>
    <w:rsid w:val="003945D6"/>
    <w:rsid w:val="00421892"/>
    <w:rsid w:val="00467983"/>
    <w:rsid w:val="00485BC4"/>
    <w:rsid w:val="005071AC"/>
    <w:rsid w:val="00512427"/>
    <w:rsid w:val="00522CF3"/>
    <w:rsid w:val="00536268"/>
    <w:rsid w:val="0055066C"/>
    <w:rsid w:val="00592668"/>
    <w:rsid w:val="005B53C0"/>
    <w:rsid w:val="005C7805"/>
    <w:rsid w:val="005E6B68"/>
    <w:rsid w:val="006856F8"/>
    <w:rsid w:val="00696B30"/>
    <w:rsid w:val="006B3AA5"/>
    <w:rsid w:val="00740AF7"/>
    <w:rsid w:val="00746B1E"/>
    <w:rsid w:val="00750BD7"/>
    <w:rsid w:val="0076068A"/>
    <w:rsid w:val="00774707"/>
    <w:rsid w:val="008370FA"/>
    <w:rsid w:val="008472CC"/>
    <w:rsid w:val="0086508B"/>
    <w:rsid w:val="008A6186"/>
    <w:rsid w:val="008B4422"/>
    <w:rsid w:val="009150D0"/>
    <w:rsid w:val="00923D36"/>
    <w:rsid w:val="00936FF5"/>
    <w:rsid w:val="009C3CE8"/>
    <w:rsid w:val="009F0C31"/>
    <w:rsid w:val="00A30F62"/>
    <w:rsid w:val="00A63C14"/>
    <w:rsid w:val="00A7222B"/>
    <w:rsid w:val="00A8426B"/>
    <w:rsid w:val="00AC3890"/>
    <w:rsid w:val="00AF68C9"/>
    <w:rsid w:val="00B43E87"/>
    <w:rsid w:val="00B504F1"/>
    <w:rsid w:val="00B91C97"/>
    <w:rsid w:val="00B920C3"/>
    <w:rsid w:val="00C01C0E"/>
    <w:rsid w:val="00C327A2"/>
    <w:rsid w:val="00C3560B"/>
    <w:rsid w:val="00C71AD8"/>
    <w:rsid w:val="00C7324C"/>
    <w:rsid w:val="00CB0163"/>
    <w:rsid w:val="00CD1322"/>
    <w:rsid w:val="00CE6EA5"/>
    <w:rsid w:val="00CF39E5"/>
    <w:rsid w:val="00CF47BE"/>
    <w:rsid w:val="00D01709"/>
    <w:rsid w:val="00D27AB7"/>
    <w:rsid w:val="00DB3B1C"/>
    <w:rsid w:val="00E601EE"/>
    <w:rsid w:val="00E84AA0"/>
    <w:rsid w:val="00EA64BF"/>
    <w:rsid w:val="00EE0B3B"/>
    <w:rsid w:val="00F05E79"/>
    <w:rsid w:val="00F24DB4"/>
    <w:rsid w:val="00F64BA2"/>
    <w:rsid w:val="00F67028"/>
    <w:rsid w:val="00FC612A"/>
    <w:rsid w:val="00FD00D2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1373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71AC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CB0163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rowland\Desktop\Personal\RBC\RBC%20Monthly%20Repo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/>
          <a:lstStyle/>
          <a:p>
            <a:pPr>
              <a:defRPr lang="en-GB"/>
            </a:pPr>
            <a:r>
              <a:rPr lang="en-US" dirty="0"/>
              <a:t>Rolling 12 month average</a:t>
            </a:r>
          </a:p>
        </c:rich>
      </c:tx>
      <c:layout>
        <c:manualLayout>
          <c:xMode val="edge"/>
          <c:yMode val="edge"/>
          <c:x val="0.335211140274132"/>
          <c:y val="0.00155358788780567"/>
        </c:manualLayout>
      </c:layout>
    </c:title>
    <c:plotArea>
      <c:layout>
        <c:manualLayout>
          <c:layoutTarget val="inner"/>
          <c:xMode val="edge"/>
          <c:yMode val="edge"/>
          <c:x val="0.0967018253858865"/>
          <c:y val="0.132363165145045"/>
          <c:w val="0.870247156605424"/>
          <c:h val="0.684371949410201"/>
        </c:manualLayout>
      </c:layout>
      <c:lineChart>
        <c:grouping val="standard"/>
        <c:ser>
          <c:idx val="0"/>
          <c:order val="0"/>
          <c:spPr>
            <a:ln w="41275"/>
          </c:spPr>
          <c:marker>
            <c:symbol val="none"/>
          </c:marker>
          <c:cat>
            <c:numRef>
              <c:f>Graphs!$A$39:$A$89</c:f>
              <c:numCache>
                <c:formatCode>mmm\-yy</c:formatCode>
                <c:ptCount val="51"/>
                <c:pt idx="0">
                  <c:v>42036.0</c:v>
                </c:pt>
                <c:pt idx="1">
                  <c:v>42064.0</c:v>
                </c:pt>
                <c:pt idx="2">
                  <c:v>42095.0</c:v>
                </c:pt>
                <c:pt idx="3">
                  <c:v>42125.0</c:v>
                </c:pt>
                <c:pt idx="4">
                  <c:v>42156.0</c:v>
                </c:pt>
                <c:pt idx="5">
                  <c:v>42186.0</c:v>
                </c:pt>
                <c:pt idx="6">
                  <c:v>42217.0</c:v>
                </c:pt>
                <c:pt idx="7">
                  <c:v>42248.0</c:v>
                </c:pt>
                <c:pt idx="8">
                  <c:v>42278.0</c:v>
                </c:pt>
                <c:pt idx="9">
                  <c:v>42309.0</c:v>
                </c:pt>
                <c:pt idx="10">
                  <c:v>42339.0</c:v>
                </c:pt>
                <c:pt idx="11">
                  <c:v>42370.0</c:v>
                </c:pt>
                <c:pt idx="12">
                  <c:v>42401.0</c:v>
                </c:pt>
                <c:pt idx="13">
                  <c:v>42430.0</c:v>
                </c:pt>
                <c:pt idx="14">
                  <c:v>42461.0</c:v>
                </c:pt>
                <c:pt idx="15">
                  <c:v>42491.0</c:v>
                </c:pt>
                <c:pt idx="16">
                  <c:v>42522.0</c:v>
                </c:pt>
                <c:pt idx="17">
                  <c:v>42552.0</c:v>
                </c:pt>
                <c:pt idx="18">
                  <c:v>42583.0</c:v>
                </c:pt>
                <c:pt idx="19">
                  <c:v>42614.0</c:v>
                </c:pt>
                <c:pt idx="20">
                  <c:v>42644.0</c:v>
                </c:pt>
                <c:pt idx="21">
                  <c:v>42675.0</c:v>
                </c:pt>
                <c:pt idx="22">
                  <c:v>42705.0</c:v>
                </c:pt>
                <c:pt idx="23">
                  <c:v>42736.0</c:v>
                </c:pt>
                <c:pt idx="24">
                  <c:v>42767.0</c:v>
                </c:pt>
                <c:pt idx="25">
                  <c:v>42795.0</c:v>
                </c:pt>
                <c:pt idx="26">
                  <c:v>42826.0</c:v>
                </c:pt>
                <c:pt idx="27">
                  <c:v>42856.0</c:v>
                </c:pt>
                <c:pt idx="28">
                  <c:v>42887.0</c:v>
                </c:pt>
                <c:pt idx="29">
                  <c:v>42917.0</c:v>
                </c:pt>
                <c:pt idx="30">
                  <c:v>42948.0</c:v>
                </c:pt>
                <c:pt idx="31">
                  <c:v>42979.0</c:v>
                </c:pt>
                <c:pt idx="32">
                  <c:v>43009.0</c:v>
                </c:pt>
                <c:pt idx="33">
                  <c:v>43040.0</c:v>
                </c:pt>
                <c:pt idx="34">
                  <c:v>43070.0</c:v>
                </c:pt>
                <c:pt idx="35">
                  <c:v>43101.0</c:v>
                </c:pt>
                <c:pt idx="36">
                  <c:v>43132.0</c:v>
                </c:pt>
                <c:pt idx="37">
                  <c:v>43160.0</c:v>
                </c:pt>
                <c:pt idx="38">
                  <c:v>43191.0</c:v>
                </c:pt>
                <c:pt idx="39">
                  <c:v>43221.0</c:v>
                </c:pt>
                <c:pt idx="40">
                  <c:v>43252.0</c:v>
                </c:pt>
                <c:pt idx="41">
                  <c:v>43282.0</c:v>
                </c:pt>
                <c:pt idx="42">
                  <c:v>43313.0</c:v>
                </c:pt>
                <c:pt idx="43">
                  <c:v>43344.0</c:v>
                </c:pt>
                <c:pt idx="44">
                  <c:v>43374.0</c:v>
                </c:pt>
                <c:pt idx="45">
                  <c:v>43405.0</c:v>
                </c:pt>
                <c:pt idx="46">
                  <c:v>43435.0</c:v>
                </c:pt>
                <c:pt idx="47">
                  <c:v>43466.0</c:v>
                </c:pt>
                <c:pt idx="48">
                  <c:v>43497.0</c:v>
                </c:pt>
                <c:pt idx="49">
                  <c:v>43525.0</c:v>
                </c:pt>
                <c:pt idx="50">
                  <c:v>43556.0</c:v>
                </c:pt>
              </c:numCache>
            </c:numRef>
          </c:cat>
          <c:val>
            <c:numRef>
              <c:f>Graphs!$F$39:$F$89</c:f>
              <c:numCache>
                <c:formatCode>_-* #,##0_-;\-* #,##0_-;_-* "-"??_-;_-@_-</c:formatCode>
                <c:ptCount val="51"/>
                <c:pt idx="0">
                  <c:v>22703.16666666666</c:v>
                </c:pt>
                <c:pt idx="1">
                  <c:v>22789.91666666666</c:v>
                </c:pt>
                <c:pt idx="2">
                  <c:v>22736.5</c:v>
                </c:pt>
                <c:pt idx="3">
                  <c:v>22687.75</c:v>
                </c:pt>
                <c:pt idx="4">
                  <c:v>22556.75</c:v>
                </c:pt>
                <c:pt idx="5">
                  <c:v>22530.75</c:v>
                </c:pt>
                <c:pt idx="6">
                  <c:v>22363.75</c:v>
                </c:pt>
                <c:pt idx="7">
                  <c:v>22458.33333333331</c:v>
                </c:pt>
                <c:pt idx="8">
                  <c:v>22353.41666666666</c:v>
                </c:pt>
                <c:pt idx="9">
                  <c:v>22432.41666666666</c:v>
                </c:pt>
                <c:pt idx="10">
                  <c:v>22559.08333333333</c:v>
                </c:pt>
                <c:pt idx="11">
                  <c:v>23043.5</c:v>
                </c:pt>
                <c:pt idx="12">
                  <c:v>23053.33333333331</c:v>
                </c:pt>
                <c:pt idx="13">
                  <c:v>23095.83333333331</c:v>
                </c:pt>
                <c:pt idx="14">
                  <c:v>23280.66666666666</c:v>
                </c:pt>
                <c:pt idx="15">
                  <c:v>23337.0</c:v>
                </c:pt>
                <c:pt idx="16">
                  <c:v>23319.66666666666</c:v>
                </c:pt>
                <c:pt idx="17">
                  <c:v>23458.16666666666</c:v>
                </c:pt>
                <c:pt idx="18">
                  <c:v>23629.16666666666</c:v>
                </c:pt>
                <c:pt idx="19">
                  <c:v>23539.83333333331</c:v>
                </c:pt>
                <c:pt idx="20">
                  <c:v>23785.83333333331</c:v>
                </c:pt>
                <c:pt idx="21">
                  <c:v>23591.08333333333</c:v>
                </c:pt>
                <c:pt idx="22">
                  <c:v>23378.33333333331</c:v>
                </c:pt>
                <c:pt idx="23">
                  <c:v>23550.33333333331</c:v>
                </c:pt>
                <c:pt idx="24">
                  <c:v>23627.16666666666</c:v>
                </c:pt>
                <c:pt idx="25">
                  <c:v>23333.0</c:v>
                </c:pt>
                <c:pt idx="26">
                  <c:v>23141.41666666666</c:v>
                </c:pt>
                <c:pt idx="27">
                  <c:v>23008.66666666666</c:v>
                </c:pt>
                <c:pt idx="28">
                  <c:v>23043.58333333333</c:v>
                </c:pt>
                <c:pt idx="29">
                  <c:v>23069.33333333331</c:v>
                </c:pt>
                <c:pt idx="30">
                  <c:v>23042.91666666666</c:v>
                </c:pt>
                <c:pt idx="31">
                  <c:v>23009.08333333333</c:v>
                </c:pt>
                <c:pt idx="32">
                  <c:v>23106.75</c:v>
                </c:pt>
                <c:pt idx="33">
                  <c:v>23170.66666666666</c:v>
                </c:pt>
                <c:pt idx="34">
                  <c:v>23422.91666666666</c:v>
                </c:pt>
                <c:pt idx="35">
                  <c:v>23235.33333333331</c:v>
                </c:pt>
                <c:pt idx="36">
                  <c:v>23288.25</c:v>
                </c:pt>
                <c:pt idx="37">
                  <c:v>23467.5</c:v>
                </c:pt>
                <c:pt idx="38">
                  <c:v>23837.16666666666</c:v>
                </c:pt>
                <c:pt idx="39">
                  <c:v>23869.0</c:v>
                </c:pt>
                <c:pt idx="40">
                  <c:v>23829.66666666666</c:v>
                </c:pt>
                <c:pt idx="41">
                  <c:v>24016.75</c:v>
                </c:pt>
                <c:pt idx="42">
                  <c:v>23969.58333333333</c:v>
                </c:pt>
                <c:pt idx="43">
                  <c:v>23912.16666666666</c:v>
                </c:pt>
                <c:pt idx="44">
                  <c:v>23861.25</c:v>
                </c:pt>
                <c:pt idx="45">
                  <c:v>24126.5</c:v>
                </c:pt>
                <c:pt idx="46">
                  <c:v>24047.83333333331</c:v>
                </c:pt>
                <c:pt idx="47">
                  <c:v>24136.58333333333</c:v>
                </c:pt>
                <c:pt idx="48">
                  <c:v>24305.83333333331</c:v>
                </c:pt>
                <c:pt idx="49">
                  <c:v>25093.0</c:v>
                </c:pt>
                <c:pt idx="50">
                  <c:v>25240.33333333331</c:v>
                </c:pt>
              </c:numCache>
            </c:numRef>
          </c:val>
        </c:ser>
        <c:ser>
          <c:idx val="1"/>
          <c:order val="1"/>
          <c:spPr>
            <a:ln w="41275">
              <a:prstDash val="sysDash"/>
            </a:ln>
          </c:spPr>
          <c:marker>
            <c:symbol val="none"/>
          </c:marker>
          <c:cat>
            <c:numRef>
              <c:f>Graphs!$A$39:$A$89</c:f>
              <c:numCache>
                <c:formatCode>mmm\-yy</c:formatCode>
                <c:ptCount val="51"/>
                <c:pt idx="0">
                  <c:v>42036.0</c:v>
                </c:pt>
                <c:pt idx="1">
                  <c:v>42064.0</c:v>
                </c:pt>
                <c:pt idx="2">
                  <c:v>42095.0</c:v>
                </c:pt>
                <c:pt idx="3">
                  <c:v>42125.0</c:v>
                </c:pt>
                <c:pt idx="4">
                  <c:v>42156.0</c:v>
                </c:pt>
                <c:pt idx="5">
                  <c:v>42186.0</c:v>
                </c:pt>
                <c:pt idx="6">
                  <c:v>42217.0</c:v>
                </c:pt>
                <c:pt idx="7">
                  <c:v>42248.0</c:v>
                </c:pt>
                <c:pt idx="8">
                  <c:v>42278.0</c:v>
                </c:pt>
                <c:pt idx="9">
                  <c:v>42309.0</c:v>
                </c:pt>
                <c:pt idx="10">
                  <c:v>42339.0</c:v>
                </c:pt>
                <c:pt idx="11">
                  <c:v>42370.0</c:v>
                </c:pt>
                <c:pt idx="12">
                  <c:v>42401.0</c:v>
                </c:pt>
                <c:pt idx="13">
                  <c:v>42430.0</c:v>
                </c:pt>
                <c:pt idx="14">
                  <c:v>42461.0</c:v>
                </c:pt>
                <c:pt idx="15">
                  <c:v>42491.0</c:v>
                </c:pt>
                <c:pt idx="16">
                  <c:v>42522.0</c:v>
                </c:pt>
                <c:pt idx="17">
                  <c:v>42552.0</c:v>
                </c:pt>
                <c:pt idx="18">
                  <c:v>42583.0</c:v>
                </c:pt>
                <c:pt idx="19">
                  <c:v>42614.0</c:v>
                </c:pt>
                <c:pt idx="20">
                  <c:v>42644.0</c:v>
                </c:pt>
                <c:pt idx="21">
                  <c:v>42675.0</c:v>
                </c:pt>
                <c:pt idx="22">
                  <c:v>42705.0</c:v>
                </c:pt>
                <c:pt idx="23">
                  <c:v>42736.0</c:v>
                </c:pt>
                <c:pt idx="24">
                  <c:v>42767.0</c:v>
                </c:pt>
                <c:pt idx="25">
                  <c:v>42795.0</c:v>
                </c:pt>
                <c:pt idx="26">
                  <c:v>42826.0</c:v>
                </c:pt>
                <c:pt idx="27">
                  <c:v>42856.0</c:v>
                </c:pt>
                <c:pt idx="28">
                  <c:v>42887.0</c:v>
                </c:pt>
                <c:pt idx="29">
                  <c:v>42917.0</c:v>
                </c:pt>
                <c:pt idx="30">
                  <c:v>42948.0</c:v>
                </c:pt>
                <c:pt idx="31">
                  <c:v>42979.0</c:v>
                </c:pt>
                <c:pt idx="32">
                  <c:v>43009.0</c:v>
                </c:pt>
                <c:pt idx="33">
                  <c:v>43040.0</c:v>
                </c:pt>
                <c:pt idx="34">
                  <c:v>43070.0</c:v>
                </c:pt>
                <c:pt idx="35">
                  <c:v>43101.0</c:v>
                </c:pt>
                <c:pt idx="36">
                  <c:v>43132.0</c:v>
                </c:pt>
                <c:pt idx="37">
                  <c:v>43160.0</c:v>
                </c:pt>
                <c:pt idx="38">
                  <c:v>43191.0</c:v>
                </c:pt>
                <c:pt idx="39">
                  <c:v>43221.0</c:v>
                </c:pt>
                <c:pt idx="40">
                  <c:v>43252.0</c:v>
                </c:pt>
                <c:pt idx="41">
                  <c:v>43282.0</c:v>
                </c:pt>
                <c:pt idx="42">
                  <c:v>43313.0</c:v>
                </c:pt>
                <c:pt idx="43">
                  <c:v>43344.0</c:v>
                </c:pt>
                <c:pt idx="44">
                  <c:v>43374.0</c:v>
                </c:pt>
                <c:pt idx="45">
                  <c:v>43405.0</c:v>
                </c:pt>
                <c:pt idx="46">
                  <c:v>43435.0</c:v>
                </c:pt>
                <c:pt idx="47">
                  <c:v>43466.0</c:v>
                </c:pt>
                <c:pt idx="48">
                  <c:v>43497.0</c:v>
                </c:pt>
                <c:pt idx="49">
                  <c:v>43525.0</c:v>
                </c:pt>
                <c:pt idx="50">
                  <c:v>43556.0</c:v>
                </c:pt>
              </c:numCache>
            </c:numRef>
          </c:cat>
          <c:val>
            <c:numRef>
              <c:f>Graphs!$G$39:$G$89</c:f>
              <c:numCache>
                <c:formatCode>_-* #,##0_-;\-* #,##0_-;_-* "-"??_-;_-@_-</c:formatCode>
                <c:ptCount val="51"/>
                <c:pt idx="0">
                  <c:v>25000.0</c:v>
                </c:pt>
                <c:pt idx="1">
                  <c:v>25000.0</c:v>
                </c:pt>
                <c:pt idx="2">
                  <c:v>25000.0</c:v>
                </c:pt>
                <c:pt idx="3">
                  <c:v>25000.0</c:v>
                </c:pt>
                <c:pt idx="4">
                  <c:v>25000.0</c:v>
                </c:pt>
                <c:pt idx="5">
                  <c:v>25000.0</c:v>
                </c:pt>
                <c:pt idx="6">
                  <c:v>25000.0</c:v>
                </c:pt>
                <c:pt idx="7">
                  <c:v>25000.0</c:v>
                </c:pt>
                <c:pt idx="8">
                  <c:v>25000.0</c:v>
                </c:pt>
                <c:pt idx="9">
                  <c:v>25000.0</c:v>
                </c:pt>
                <c:pt idx="10">
                  <c:v>25000.0</c:v>
                </c:pt>
                <c:pt idx="11">
                  <c:v>25000.0</c:v>
                </c:pt>
                <c:pt idx="12">
                  <c:v>25000.0</c:v>
                </c:pt>
                <c:pt idx="13">
                  <c:v>25000.0</c:v>
                </c:pt>
                <c:pt idx="14">
                  <c:v>25000.0</c:v>
                </c:pt>
                <c:pt idx="15">
                  <c:v>25000.0</c:v>
                </c:pt>
                <c:pt idx="16">
                  <c:v>25000.0</c:v>
                </c:pt>
                <c:pt idx="17">
                  <c:v>25000.0</c:v>
                </c:pt>
                <c:pt idx="18">
                  <c:v>25000.0</c:v>
                </c:pt>
                <c:pt idx="19">
                  <c:v>25000.0</c:v>
                </c:pt>
                <c:pt idx="20">
                  <c:v>25000.0</c:v>
                </c:pt>
                <c:pt idx="21">
                  <c:v>25000.0</c:v>
                </c:pt>
                <c:pt idx="22">
                  <c:v>25000.0</c:v>
                </c:pt>
                <c:pt idx="23">
                  <c:v>25000.0</c:v>
                </c:pt>
                <c:pt idx="24">
                  <c:v>25000.0</c:v>
                </c:pt>
                <c:pt idx="25">
                  <c:v>25000.0</c:v>
                </c:pt>
                <c:pt idx="26">
                  <c:v>25000.0</c:v>
                </c:pt>
                <c:pt idx="27">
                  <c:v>25000.0</c:v>
                </c:pt>
                <c:pt idx="28">
                  <c:v>25000.0</c:v>
                </c:pt>
                <c:pt idx="29">
                  <c:v>25000.0</c:v>
                </c:pt>
                <c:pt idx="30">
                  <c:v>25000.0</c:v>
                </c:pt>
                <c:pt idx="31">
                  <c:v>25000.0</c:v>
                </c:pt>
                <c:pt idx="32">
                  <c:v>25000.0</c:v>
                </c:pt>
                <c:pt idx="33">
                  <c:v>25000.0</c:v>
                </c:pt>
                <c:pt idx="34">
                  <c:v>25000.0</c:v>
                </c:pt>
                <c:pt idx="35">
                  <c:v>25000.0</c:v>
                </c:pt>
                <c:pt idx="36">
                  <c:v>25000.0</c:v>
                </c:pt>
                <c:pt idx="37">
                  <c:v>25000.0</c:v>
                </c:pt>
                <c:pt idx="38">
                  <c:v>25000.0</c:v>
                </c:pt>
                <c:pt idx="39">
                  <c:v>25000.0</c:v>
                </c:pt>
                <c:pt idx="40">
                  <c:v>25000.0</c:v>
                </c:pt>
                <c:pt idx="41">
                  <c:v>25000.0</c:v>
                </c:pt>
                <c:pt idx="42">
                  <c:v>25000.0</c:v>
                </c:pt>
                <c:pt idx="43">
                  <c:v>25000.0</c:v>
                </c:pt>
                <c:pt idx="44">
                  <c:v>25000.0</c:v>
                </c:pt>
                <c:pt idx="45">
                  <c:v>25000.0</c:v>
                </c:pt>
                <c:pt idx="46">
                  <c:v>25000.0</c:v>
                </c:pt>
                <c:pt idx="47">
                  <c:v>25000.0</c:v>
                </c:pt>
                <c:pt idx="48">
                  <c:v>25000.0</c:v>
                </c:pt>
                <c:pt idx="49">
                  <c:v>25000.0</c:v>
                </c:pt>
                <c:pt idx="50">
                  <c:v>25000.0</c:v>
                </c:pt>
              </c:numCache>
            </c:numRef>
          </c:val>
        </c:ser>
        <c:marker val="1"/>
        <c:axId val="727664648"/>
        <c:axId val="727657160"/>
      </c:lineChart>
      <c:dateAx>
        <c:axId val="727664648"/>
        <c:scaling>
          <c:orientation val="minMax"/>
        </c:scaling>
        <c:axPos val="b"/>
        <c:numFmt formatCode="mmm\-yy" sourceLinked="1"/>
        <c:tickLblPos val="nextTo"/>
        <c:txPr>
          <a:bodyPr/>
          <a:lstStyle/>
          <a:p>
            <a:pPr>
              <a:defRPr lang="en-GB" sz="1000"/>
            </a:pPr>
            <a:endParaRPr lang="en-US"/>
          </a:p>
        </c:txPr>
        <c:crossAx val="727657160"/>
        <c:crosses val="autoZero"/>
        <c:auto val="1"/>
        <c:lblOffset val="100"/>
        <c:baseTimeUnit val="months"/>
      </c:dateAx>
      <c:valAx>
        <c:axId val="727657160"/>
        <c:scaling>
          <c:orientation val="minMax"/>
          <c:min val="20500.0"/>
        </c:scaling>
        <c:axPos val="l"/>
        <c:majorGridlines/>
        <c:numFmt formatCode="_-* #,##0_-;\-* #,##0_-;_-* &quot;-&quot;??_-;_-@_-" sourceLinked="1"/>
        <c:tickLblPos val="nextTo"/>
        <c:txPr>
          <a:bodyPr/>
          <a:lstStyle/>
          <a:p>
            <a:pPr>
              <a:defRPr lang="en-GB" sz="1000"/>
            </a:pPr>
            <a:endParaRPr lang="en-US"/>
          </a:p>
        </c:txPr>
        <c:crossAx val="72766464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6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Word 12.1.0</Application>
  <DocSecurity>0</DocSecurity>
  <Lines>13</Lines>
  <Paragraphs>3</Paragraphs>
  <ScaleCrop>false</ScaleCrop>
  <Company>Home</Company>
  <LinksUpToDate>false</LinksUpToDate>
  <CharactersWithSpaces>1937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Rowland</dc:creator>
  <cp:keywords/>
  <cp:lastModifiedBy>Craig Rowland</cp:lastModifiedBy>
  <cp:revision>2</cp:revision>
  <cp:lastPrinted>2019-05-19T18:10:00Z</cp:lastPrinted>
  <dcterms:created xsi:type="dcterms:W3CDTF">2019-05-19T18:34:00Z</dcterms:created>
  <dcterms:modified xsi:type="dcterms:W3CDTF">2019-05-19T18:34:00Z</dcterms:modified>
</cp:coreProperties>
</file>